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 w:type="dxa"/>
        <w:tblCellMar>
          <w:left w:w="0" w:type="dxa"/>
          <w:right w:w="0" w:type="dxa"/>
        </w:tblCellMar>
        <w:tblLook w:val="04A0" w:firstRow="1" w:lastRow="0" w:firstColumn="1" w:lastColumn="0" w:noHBand="0" w:noVBand="1"/>
      </w:tblPr>
      <w:tblGrid>
        <w:gridCol w:w="1303"/>
        <w:gridCol w:w="5249"/>
        <w:gridCol w:w="915"/>
        <w:gridCol w:w="2211"/>
        <w:gridCol w:w="3629"/>
      </w:tblGrid>
      <w:tr w:rsidR="006D21FD" w14:paraId="07E283EA" w14:textId="77777777" w:rsidTr="006D21FD">
        <w:trPr>
          <w:trHeight w:val="520"/>
        </w:trPr>
        <w:tc>
          <w:tcPr>
            <w:tcW w:w="0" w:type="auto"/>
            <w:tcBorders>
              <w:top w:val="single" w:sz="8" w:space="0" w:color="auto"/>
              <w:left w:val="single" w:sz="8" w:space="0" w:color="auto"/>
              <w:bottom w:val="single" w:sz="8" w:space="0" w:color="auto"/>
              <w:right w:val="single" w:sz="8" w:space="0" w:color="auto"/>
            </w:tcBorders>
            <w:shd w:val="clear" w:color="auto" w:fill="366092"/>
            <w:tcMar>
              <w:top w:w="0" w:type="dxa"/>
              <w:left w:w="108" w:type="dxa"/>
              <w:bottom w:w="0" w:type="dxa"/>
              <w:right w:w="108" w:type="dxa"/>
            </w:tcMar>
            <w:hideMark/>
          </w:tcPr>
          <w:p w14:paraId="71AE4A33" w14:textId="77777777" w:rsidR="006D21FD" w:rsidRDefault="006D21FD">
            <w:pPr>
              <w:spacing w:line="252" w:lineRule="auto"/>
              <w:rPr>
                <w:b/>
                <w:bCs/>
                <w:color w:val="FFFFFF"/>
                <w:sz w:val="20"/>
                <w:szCs w:val="20"/>
              </w:rPr>
            </w:pPr>
            <w:r>
              <w:rPr>
                <w:b/>
                <w:bCs/>
                <w:color w:val="FFFFFF"/>
                <w:sz w:val="20"/>
                <w:szCs w:val="20"/>
              </w:rPr>
              <w:t>REV REQ NO.</w:t>
            </w:r>
          </w:p>
        </w:tc>
        <w:tc>
          <w:tcPr>
            <w:tcW w:w="5249" w:type="dxa"/>
            <w:tcBorders>
              <w:top w:val="single" w:sz="8" w:space="0" w:color="auto"/>
              <w:left w:val="nil"/>
              <w:bottom w:val="single" w:sz="8" w:space="0" w:color="auto"/>
              <w:right w:val="single" w:sz="8" w:space="0" w:color="auto"/>
            </w:tcBorders>
            <w:shd w:val="clear" w:color="auto" w:fill="366092"/>
            <w:tcMar>
              <w:top w:w="0" w:type="dxa"/>
              <w:left w:w="108" w:type="dxa"/>
              <w:bottom w:w="0" w:type="dxa"/>
              <w:right w:w="108" w:type="dxa"/>
            </w:tcMar>
            <w:hideMark/>
          </w:tcPr>
          <w:p w14:paraId="46618934" w14:textId="77777777" w:rsidR="006D21FD" w:rsidRDefault="006D21FD">
            <w:pPr>
              <w:spacing w:line="252" w:lineRule="auto"/>
              <w:rPr>
                <w:b/>
                <w:bCs/>
                <w:color w:val="FFFFFF"/>
                <w:sz w:val="20"/>
                <w:szCs w:val="20"/>
              </w:rPr>
            </w:pPr>
            <w:r>
              <w:rPr>
                <w:b/>
                <w:bCs/>
                <w:color w:val="FFFFFF"/>
                <w:sz w:val="20"/>
                <w:szCs w:val="20"/>
              </w:rPr>
              <w:t>DESCRIPTION</w:t>
            </w:r>
          </w:p>
        </w:tc>
        <w:tc>
          <w:tcPr>
            <w:tcW w:w="915" w:type="dxa"/>
            <w:tcBorders>
              <w:top w:val="single" w:sz="8" w:space="0" w:color="auto"/>
              <w:left w:val="nil"/>
              <w:bottom w:val="single" w:sz="8" w:space="0" w:color="auto"/>
              <w:right w:val="single" w:sz="8" w:space="0" w:color="auto"/>
            </w:tcBorders>
            <w:shd w:val="clear" w:color="auto" w:fill="366092"/>
            <w:tcMar>
              <w:top w:w="0" w:type="dxa"/>
              <w:left w:w="108" w:type="dxa"/>
              <w:bottom w:w="0" w:type="dxa"/>
              <w:right w:w="108" w:type="dxa"/>
            </w:tcMar>
            <w:hideMark/>
          </w:tcPr>
          <w:p w14:paraId="26D96157" w14:textId="77777777" w:rsidR="006D21FD" w:rsidRDefault="006D21FD">
            <w:pPr>
              <w:spacing w:line="252" w:lineRule="auto"/>
              <w:jc w:val="center"/>
              <w:rPr>
                <w:b/>
                <w:bCs/>
                <w:color w:val="FFFFFF"/>
                <w:sz w:val="20"/>
                <w:szCs w:val="20"/>
              </w:rPr>
            </w:pPr>
            <w:r>
              <w:rPr>
                <w:b/>
                <w:bCs/>
                <w:color w:val="FFFFFF"/>
                <w:sz w:val="20"/>
                <w:szCs w:val="20"/>
              </w:rPr>
              <w:t>URGENT</w:t>
            </w:r>
          </w:p>
        </w:tc>
        <w:tc>
          <w:tcPr>
            <w:tcW w:w="2211" w:type="dxa"/>
            <w:tcBorders>
              <w:top w:val="single" w:sz="8" w:space="0" w:color="auto"/>
              <w:left w:val="nil"/>
              <w:bottom w:val="single" w:sz="8" w:space="0" w:color="auto"/>
              <w:right w:val="single" w:sz="8" w:space="0" w:color="auto"/>
            </w:tcBorders>
            <w:shd w:val="clear" w:color="auto" w:fill="366092"/>
            <w:tcMar>
              <w:top w:w="0" w:type="dxa"/>
              <w:left w:w="108" w:type="dxa"/>
              <w:bottom w:w="0" w:type="dxa"/>
              <w:right w:w="108" w:type="dxa"/>
            </w:tcMar>
            <w:hideMark/>
          </w:tcPr>
          <w:p w14:paraId="244E4BF2" w14:textId="77777777" w:rsidR="006D21FD" w:rsidRDefault="006D21FD">
            <w:pPr>
              <w:spacing w:line="252" w:lineRule="auto"/>
              <w:rPr>
                <w:b/>
                <w:bCs/>
                <w:color w:val="FFFFFF"/>
                <w:sz w:val="20"/>
                <w:szCs w:val="20"/>
              </w:rPr>
            </w:pPr>
            <w:r>
              <w:rPr>
                <w:b/>
                <w:bCs/>
                <w:color w:val="FFFFFF"/>
                <w:sz w:val="20"/>
                <w:szCs w:val="20"/>
              </w:rPr>
              <w:t>ERCOT Opinion</w:t>
            </w:r>
          </w:p>
        </w:tc>
        <w:tc>
          <w:tcPr>
            <w:tcW w:w="3629" w:type="dxa"/>
            <w:tcBorders>
              <w:top w:val="single" w:sz="8" w:space="0" w:color="auto"/>
              <w:left w:val="nil"/>
              <w:bottom w:val="single" w:sz="8" w:space="0" w:color="auto"/>
              <w:right w:val="single" w:sz="8" w:space="0" w:color="auto"/>
            </w:tcBorders>
            <w:shd w:val="clear" w:color="auto" w:fill="366092"/>
            <w:hideMark/>
          </w:tcPr>
          <w:p w14:paraId="6AC44D9E" w14:textId="77777777" w:rsidR="006D21FD" w:rsidRDefault="006D21FD">
            <w:pPr>
              <w:spacing w:line="252" w:lineRule="auto"/>
              <w:rPr>
                <w:b/>
                <w:bCs/>
                <w:color w:val="FFFFFF"/>
                <w:sz w:val="20"/>
                <w:szCs w:val="20"/>
              </w:rPr>
            </w:pPr>
            <w:r>
              <w:rPr>
                <w:b/>
                <w:bCs/>
                <w:color w:val="FFFFFF"/>
                <w:sz w:val="20"/>
                <w:szCs w:val="20"/>
              </w:rPr>
              <w:t>ERCOT Market Impact Statement</w:t>
            </w:r>
          </w:p>
        </w:tc>
      </w:tr>
      <w:tr w:rsidR="006D21FD" w14:paraId="00DE94FE" w14:textId="77777777" w:rsidTr="00283FF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7BED1" w14:textId="3AE625F4" w:rsidR="006D21FD" w:rsidRDefault="006D21FD" w:rsidP="00A21AB4">
            <w:pPr>
              <w:spacing w:line="252" w:lineRule="auto"/>
              <w:rPr>
                <w:rFonts w:cs="Calibri"/>
                <w:b/>
                <w:bCs/>
                <w:color w:val="000000"/>
                <w:sz w:val="20"/>
                <w:szCs w:val="20"/>
              </w:rPr>
            </w:pPr>
            <w:r>
              <w:rPr>
                <w:rFonts w:cs="Calibri"/>
                <w:b/>
                <w:bCs/>
                <w:color w:val="000000"/>
                <w:sz w:val="20"/>
                <w:szCs w:val="20"/>
              </w:rPr>
              <w:t>1128NPRR</w:t>
            </w:r>
          </w:p>
        </w:tc>
        <w:tc>
          <w:tcPr>
            <w:tcW w:w="5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2553" w14:textId="2A4AE6A5" w:rsidR="006D21FD" w:rsidRDefault="006D21FD" w:rsidP="00A21AB4">
            <w:pPr>
              <w:spacing w:line="252" w:lineRule="auto"/>
              <w:rPr>
                <w:rFonts w:cs="Calibri"/>
                <w:b/>
                <w:bCs/>
                <w:color w:val="000000"/>
                <w:sz w:val="20"/>
                <w:szCs w:val="20"/>
              </w:rPr>
            </w:pPr>
            <w:r>
              <w:rPr>
                <w:rFonts w:cs="Calibri"/>
                <w:b/>
                <w:bCs/>
                <w:color w:val="000000"/>
                <w:sz w:val="20"/>
                <w:szCs w:val="20"/>
              </w:rPr>
              <w:t xml:space="preserve">Allow FFR Procurement up to FFR Limit Without Proration. </w:t>
            </w:r>
            <w:r>
              <w:rPr>
                <w:rFonts w:cs="Calibri"/>
                <w:color w:val="000000"/>
                <w:sz w:val="20"/>
                <w:szCs w:val="20"/>
              </w:rPr>
              <w:t xml:space="preserve"> This Nodal Protocol Revision Request (NPRR) sets a -$0.01 per MW lower Ancillary Service Offer floor for Fast Frequency Response (FFR) Responsive Reserve (RRS) rather than for other RRS categories, thereby allowing, depending on relative Ancillary Service Offers, FFR procurement up to the current FFR limit without proration with other RRS categories in the Ancillary Service procurement process.  [Hunt Energy Network]</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D358" w14:textId="167F1C17" w:rsidR="006D21FD" w:rsidRDefault="006D21FD" w:rsidP="00A21AB4">
            <w:pPr>
              <w:spacing w:line="252" w:lineRule="auto"/>
              <w:jc w:val="center"/>
              <w:rPr>
                <w:rFonts w:cs="Calibri"/>
                <w:color w:val="000000"/>
                <w:sz w:val="20"/>
                <w:szCs w:val="20"/>
              </w:rPr>
            </w:pPr>
            <w:r>
              <w:rPr>
                <w:rFonts w:cs="Calibri"/>
                <w:color w:val="000000"/>
                <w:sz w:val="20"/>
                <w:szCs w:val="20"/>
              </w:rPr>
              <w:t>N</w:t>
            </w:r>
          </w:p>
        </w:tc>
        <w:tc>
          <w:tcPr>
            <w:tcW w:w="2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F52C6" w14:textId="6C621957" w:rsidR="006D21FD" w:rsidRDefault="006D21FD" w:rsidP="00A21AB4">
            <w:pPr>
              <w:spacing w:line="252" w:lineRule="auto"/>
              <w:rPr>
                <w:sz w:val="20"/>
                <w:szCs w:val="20"/>
              </w:rPr>
            </w:pPr>
            <w:r>
              <w:rPr>
                <w:sz w:val="20"/>
                <w:szCs w:val="20"/>
              </w:rPr>
              <w:t>ERCOT supports approval of NPRR1128.</w:t>
            </w:r>
          </w:p>
        </w:tc>
        <w:tc>
          <w:tcPr>
            <w:tcW w:w="3629" w:type="dxa"/>
            <w:tcBorders>
              <w:top w:val="single" w:sz="4" w:space="0" w:color="auto"/>
              <w:left w:val="single" w:sz="4" w:space="0" w:color="auto"/>
              <w:bottom w:val="single" w:sz="4" w:space="0" w:color="auto"/>
              <w:right w:val="single" w:sz="4" w:space="0" w:color="auto"/>
            </w:tcBorders>
          </w:tcPr>
          <w:p w14:paraId="46172476" w14:textId="623B3F3F" w:rsidR="006D21FD" w:rsidRPr="008A1DA2" w:rsidRDefault="006D21FD" w:rsidP="00A21AB4">
            <w:pPr>
              <w:spacing w:line="252" w:lineRule="auto"/>
              <w:rPr>
                <w:sz w:val="20"/>
                <w:szCs w:val="20"/>
              </w:rPr>
            </w:pPr>
            <w:r w:rsidRPr="00B247DA">
              <w:rPr>
                <w:sz w:val="20"/>
                <w:szCs w:val="20"/>
              </w:rPr>
              <w:t>ERCOT Staff has reviewed NPRR1128 and believes the market impact for NPRR1128 provides reliability benefits by implementing a preference for FFR procurement specifically during certain times of year when low levels of inertia on the ERCOT System are more common.</w:t>
            </w:r>
          </w:p>
        </w:tc>
      </w:tr>
      <w:tr w:rsidR="006D21FD" w14:paraId="589D1ADF" w14:textId="77777777" w:rsidTr="006D21FD">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437A" w14:textId="77777777" w:rsidR="006D21FD" w:rsidRPr="006D21FD" w:rsidRDefault="006D21FD" w:rsidP="0029780D">
            <w:pPr>
              <w:spacing w:line="252" w:lineRule="auto"/>
              <w:rPr>
                <w:rFonts w:cs="Calibri"/>
                <w:b/>
                <w:bCs/>
                <w:color w:val="000000"/>
                <w:sz w:val="20"/>
                <w:szCs w:val="20"/>
              </w:rPr>
            </w:pPr>
            <w:r>
              <w:rPr>
                <w:rFonts w:cs="Calibri"/>
                <w:b/>
                <w:bCs/>
                <w:color w:val="000000"/>
                <w:sz w:val="20"/>
                <w:szCs w:val="20"/>
              </w:rPr>
              <w:t>1148NPRR</w:t>
            </w:r>
          </w:p>
        </w:tc>
        <w:tc>
          <w:tcPr>
            <w:tcW w:w="5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8FA4" w14:textId="77777777" w:rsidR="006D21FD" w:rsidRPr="006D21FD" w:rsidRDefault="006D21FD" w:rsidP="0029780D">
            <w:pPr>
              <w:spacing w:line="252" w:lineRule="auto"/>
              <w:rPr>
                <w:rFonts w:cs="Calibri"/>
                <w:b/>
                <w:bCs/>
                <w:color w:val="000000"/>
                <w:sz w:val="20"/>
                <w:szCs w:val="20"/>
              </w:rPr>
            </w:pPr>
            <w:r>
              <w:rPr>
                <w:rFonts w:cs="Calibri"/>
                <w:b/>
                <w:bCs/>
                <w:color w:val="000000"/>
                <w:sz w:val="20"/>
                <w:szCs w:val="20"/>
              </w:rPr>
              <w:t xml:space="preserve">Language Cleanup Related to ERCOT Contingency Reserve Service (ECRS).  </w:t>
            </w:r>
            <w:r w:rsidRPr="006D21FD">
              <w:rPr>
                <w:rFonts w:cs="Calibri"/>
                <w:color w:val="000000"/>
                <w:sz w:val="20"/>
                <w:szCs w:val="20"/>
              </w:rPr>
              <w:t>This NPRR addresses Protocol gaps found during the creation of the ECRS system change requirements.  [ERCOT]</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44C5" w14:textId="77777777" w:rsidR="006D21FD" w:rsidRPr="006D21FD" w:rsidRDefault="006D21FD" w:rsidP="0029780D">
            <w:pPr>
              <w:spacing w:line="252" w:lineRule="auto"/>
              <w:jc w:val="center"/>
              <w:rPr>
                <w:rFonts w:cs="Calibri"/>
                <w:color w:val="000000"/>
                <w:sz w:val="20"/>
                <w:szCs w:val="20"/>
              </w:rPr>
            </w:pPr>
            <w:r>
              <w:rPr>
                <w:rFonts w:cs="Calibri"/>
                <w:color w:val="000000"/>
                <w:sz w:val="20"/>
                <w:szCs w:val="20"/>
              </w:rPr>
              <w:t>N</w:t>
            </w:r>
          </w:p>
        </w:tc>
        <w:tc>
          <w:tcPr>
            <w:tcW w:w="2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C0A45" w14:textId="77777777" w:rsidR="006D21FD" w:rsidRDefault="006D21FD" w:rsidP="0029780D">
            <w:pPr>
              <w:spacing w:line="252" w:lineRule="auto"/>
              <w:rPr>
                <w:sz w:val="20"/>
                <w:szCs w:val="20"/>
              </w:rPr>
            </w:pPr>
            <w:r>
              <w:rPr>
                <w:sz w:val="20"/>
                <w:szCs w:val="20"/>
              </w:rPr>
              <w:t>ERCOT supports approval of NPRR1148.</w:t>
            </w:r>
          </w:p>
        </w:tc>
        <w:tc>
          <w:tcPr>
            <w:tcW w:w="3629" w:type="dxa"/>
            <w:tcBorders>
              <w:top w:val="single" w:sz="4" w:space="0" w:color="auto"/>
              <w:left w:val="single" w:sz="4" w:space="0" w:color="auto"/>
              <w:bottom w:val="single" w:sz="4" w:space="0" w:color="auto"/>
              <w:right w:val="single" w:sz="4" w:space="0" w:color="auto"/>
            </w:tcBorders>
          </w:tcPr>
          <w:p w14:paraId="6BA29E3A" w14:textId="77777777" w:rsidR="006D21FD" w:rsidRDefault="006D21FD" w:rsidP="0029780D">
            <w:pPr>
              <w:spacing w:line="252" w:lineRule="auto"/>
              <w:rPr>
                <w:sz w:val="20"/>
                <w:szCs w:val="20"/>
              </w:rPr>
            </w:pPr>
            <w:r w:rsidRPr="00283FFB">
              <w:rPr>
                <w:sz w:val="20"/>
                <w:szCs w:val="20"/>
              </w:rPr>
              <w:t>ERCOT Staff has reviewed NPRR1148 and believes the market impact for NPRR1148 properly reconciles Protocol language with the upcoming system implementation of ECRS.</w:t>
            </w:r>
          </w:p>
        </w:tc>
      </w:tr>
      <w:tr w:rsidR="006D21FD" w14:paraId="412B3625" w14:textId="77777777" w:rsidTr="006D21FD">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6BC0" w14:textId="77777777" w:rsidR="006D21FD" w:rsidRDefault="006D21FD" w:rsidP="0029780D">
            <w:pPr>
              <w:spacing w:line="252" w:lineRule="auto"/>
              <w:rPr>
                <w:rFonts w:cs="Calibri"/>
                <w:b/>
                <w:bCs/>
                <w:color w:val="000000"/>
                <w:sz w:val="20"/>
                <w:szCs w:val="20"/>
              </w:rPr>
            </w:pPr>
            <w:r>
              <w:rPr>
                <w:rFonts w:cs="Calibri"/>
                <w:b/>
                <w:bCs/>
                <w:color w:val="000000"/>
                <w:sz w:val="20"/>
                <w:szCs w:val="20"/>
              </w:rPr>
              <w:t>043OBDRR</w:t>
            </w:r>
          </w:p>
        </w:tc>
        <w:tc>
          <w:tcPr>
            <w:tcW w:w="5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5707" w14:textId="6D50850A" w:rsidR="006D21FD" w:rsidRDefault="006D21FD" w:rsidP="0029780D">
            <w:pPr>
              <w:spacing w:line="252" w:lineRule="auto"/>
              <w:rPr>
                <w:rFonts w:cs="Calibri"/>
                <w:b/>
                <w:bCs/>
                <w:color w:val="000000"/>
                <w:sz w:val="20"/>
                <w:szCs w:val="20"/>
              </w:rPr>
            </w:pPr>
            <w:r>
              <w:rPr>
                <w:rFonts w:cs="Calibri"/>
                <w:b/>
                <w:bCs/>
                <w:color w:val="000000"/>
                <w:sz w:val="20"/>
                <w:szCs w:val="20"/>
              </w:rPr>
              <w:t xml:space="preserve">Related to NPRR1148, Language Cleanup Related to ERCOT Contingency Reserve Service (ECRS).  </w:t>
            </w:r>
            <w:r w:rsidRPr="006D21FD">
              <w:rPr>
                <w:rFonts w:cs="Calibri"/>
                <w:color w:val="000000"/>
                <w:sz w:val="20"/>
                <w:szCs w:val="20"/>
              </w:rPr>
              <w:t>This Other Binding Document Revision Request (OBDRR) aligns the ORDC methodology with the Protocol revisions of NPRR1148.</w:t>
            </w:r>
            <w:r w:rsidRPr="006D21FD">
              <w:rPr>
                <w:rFonts w:cs="Calibri"/>
                <w:b/>
                <w:bCs/>
                <w:color w:val="000000"/>
                <w:sz w:val="20"/>
                <w:szCs w:val="20"/>
              </w:rPr>
              <w:t xml:space="preserve"> </w:t>
            </w:r>
            <w:r w:rsidRPr="006D21FD">
              <w:rPr>
                <w:rFonts w:cs="Calibri"/>
                <w:color w:val="000000"/>
                <w:sz w:val="20"/>
                <w:szCs w:val="20"/>
              </w:rPr>
              <w:t>[ERCOT]</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7CD0" w14:textId="77777777" w:rsidR="006D21FD" w:rsidRDefault="006D21FD" w:rsidP="0029780D">
            <w:pPr>
              <w:spacing w:line="252" w:lineRule="auto"/>
              <w:jc w:val="center"/>
              <w:rPr>
                <w:rFonts w:cs="Calibri"/>
                <w:color w:val="000000"/>
                <w:sz w:val="20"/>
                <w:szCs w:val="20"/>
              </w:rPr>
            </w:pPr>
            <w:r>
              <w:rPr>
                <w:rFonts w:cs="Calibri"/>
                <w:color w:val="000000"/>
                <w:sz w:val="20"/>
                <w:szCs w:val="20"/>
              </w:rPr>
              <w:t>N</w:t>
            </w:r>
          </w:p>
        </w:tc>
        <w:tc>
          <w:tcPr>
            <w:tcW w:w="2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062A" w14:textId="77777777" w:rsidR="006D21FD" w:rsidRDefault="006D21FD" w:rsidP="0029780D">
            <w:pPr>
              <w:spacing w:line="252" w:lineRule="auto"/>
              <w:rPr>
                <w:sz w:val="20"/>
                <w:szCs w:val="20"/>
              </w:rPr>
            </w:pPr>
            <w:r>
              <w:rPr>
                <w:sz w:val="20"/>
                <w:szCs w:val="20"/>
              </w:rPr>
              <w:t>ERCOT supports approval of OBDRR043.</w:t>
            </w:r>
          </w:p>
        </w:tc>
        <w:tc>
          <w:tcPr>
            <w:tcW w:w="3629" w:type="dxa"/>
            <w:tcBorders>
              <w:top w:val="single" w:sz="4" w:space="0" w:color="auto"/>
              <w:left w:val="single" w:sz="4" w:space="0" w:color="auto"/>
              <w:bottom w:val="single" w:sz="4" w:space="0" w:color="auto"/>
              <w:right w:val="single" w:sz="4" w:space="0" w:color="auto"/>
            </w:tcBorders>
          </w:tcPr>
          <w:p w14:paraId="6CA6417C" w14:textId="77777777" w:rsidR="006D21FD" w:rsidRPr="008A1DA2" w:rsidRDefault="006D21FD" w:rsidP="0029780D">
            <w:pPr>
              <w:spacing w:line="252" w:lineRule="auto"/>
              <w:rPr>
                <w:sz w:val="20"/>
                <w:szCs w:val="20"/>
              </w:rPr>
            </w:pPr>
            <w:r w:rsidRPr="00283FFB">
              <w:rPr>
                <w:sz w:val="20"/>
                <w:szCs w:val="20"/>
              </w:rPr>
              <w:t>ERCOT Staff has reviewed OBDRR043 and believes the market impact for OBDRR043 properly reconciles OBD language with the upcoming system implementation of ECRS.</w:t>
            </w:r>
          </w:p>
        </w:tc>
      </w:tr>
      <w:tr w:rsidR="006D21FD" w14:paraId="47797813" w14:textId="77777777" w:rsidTr="006D21FD">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4FAB" w14:textId="77777777" w:rsidR="006D21FD" w:rsidRPr="006D21FD" w:rsidRDefault="006D21FD" w:rsidP="0029780D">
            <w:pPr>
              <w:spacing w:line="252" w:lineRule="auto"/>
              <w:rPr>
                <w:rFonts w:cs="Calibri"/>
                <w:b/>
                <w:bCs/>
                <w:color w:val="000000"/>
                <w:sz w:val="20"/>
                <w:szCs w:val="20"/>
              </w:rPr>
            </w:pPr>
            <w:r>
              <w:rPr>
                <w:rFonts w:cs="Calibri"/>
                <w:b/>
                <w:bCs/>
                <w:color w:val="000000"/>
                <w:sz w:val="20"/>
                <w:szCs w:val="20"/>
              </w:rPr>
              <w:t>069LPGRR</w:t>
            </w:r>
          </w:p>
        </w:tc>
        <w:tc>
          <w:tcPr>
            <w:tcW w:w="5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2FF4" w14:textId="77777777" w:rsidR="006D21FD" w:rsidRPr="006D21FD" w:rsidRDefault="006D21FD" w:rsidP="0029780D">
            <w:pPr>
              <w:spacing w:line="252" w:lineRule="auto"/>
              <w:rPr>
                <w:rFonts w:cs="Calibri"/>
                <w:b/>
                <w:bCs/>
                <w:color w:val="000000"/>
                <w:sz w:val="20"/>
                <w:szCs w:val="20"/>
              </w:rPr>
            </w:pPr>
            <w:r>
              <w:rPr>
                <w:rFonts w:cs="Calibri"/>
                <w:b/>
                <w:bCs/>
                <w:color w:val="000000"/>
                <w:sz w:val="20"/>
                <w:szCs w:val="20"/>
              </w:rPr>
              <w:t xml:space="preserve">Add Lubbock Zip Codes.  </w:t>
            </w:r>
            <w:r w:rsidRPr="006D21FD">
              <w:rPr>
                <w:rFonts w:cs="Calibri"/>
                <w:color w:val="000000"/>
                <w:sz w:val="20"/>
                <w:szCs w:val="20"/>
              </w:rPr>
              <w:t>This Load Profiling Guide Revision Request (LPGRR) adds Lubbock Power &amp; Light’s (LP&amp;L’s) Service Address Zip Codes to the Load Profiling Guide and updates the ERCOT service territory map to include Lubbock County.  Additionally, the LPGRR corrects several instances in which zip code counts were inadvertently omitted in the  Count column by numbering and renumbering as necessary the affected zip code counts.  [ERCOT]</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A5DE" w14:textId="77777777" w:rsidR="006D21FD" w:rsidRPr="006D21FD" w:rsidRDefault="006D21FD" w:rsidP="0029780D">
            <w:pPr>
              <w:spacing w:line="252" w:lineRule="auto"/>
              <w:jc w:val="center"/>
              <w:rPr>
                <w:rFonts w:cs="Calibri"/>
                <w:color w:val="000000"/>
                <w:sz w:val="20"/>
                <w:szCs w:val="20"/>
              </w:rPr>
            </w:pPr>
            <w:r>
              <w:rPr>
                <w:rFonts w:cs="Calibri"/>
                <w:color w:val="000000"/>
                <w:sz w:val="20"/>
                <w:szCs w:val="20"/>
              </w:rPr>
              <w:t>N</w:t>
            </w:r>
          </w:p>
        </w:tc>
        <w:tc>
          <w:tcPr>
            <w:tcW w:w="2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03CD" w14:textId="77777777" w:rsidR="006D21FD" w:rsidRDefault="006D21FD" w:rsidP="0029780D">
            <w:pPr>
              <w:spacing w:line="252" w:lineRule="auto"/>
              <w:rPr>
                <w:sz w:val="20"/>
                <w:szCs w:val="20"/>
              </w:rPr>
            </w:pPr>
            <w:r>
              <w:rPr>
                <w:sz w:val="20"/>
                <w:szCs w:val="20"/>
              </w:rPr>
              <w:t>ERCOT supports approval of LPGRR069.</w:t>
            </w:r>
          </w:p>
        </w:tc>
        <w:tc>
          <w:tcPr>
            <w:tcW w:w="3629" w:type="dxa"/>
            <w:tcBorders>
              <w:top w:val="single" w:sz="4" w:space="0" w:color="auto"/>
              <w:left w:val="single" w:sz="4" w:space="0" w:color="auto"/>
              <w:bottom w:val="single" w:sz="4" w:space="0" w:color="auto"/>
              <w:right w:val="single" w:sz="4" w:space="0" w:color="auto"/>
            </w:tcBorders>
          </w:tcPr>
          <w:p w14:paraId="01B99443" w14:textId="77777777" w:rsidR="006D21FD" w:rsidRDefault="006D21FD" w:rsidP="0029780D">
            <w:pPr>
              <w:spacing w:line="252" w:lineRule="auto"/>
              <w:rPr>
                <w:sz w:val="20"/>
                <w:szCs w:val="20"/>
              </w:rPr>
            </w:pPr>
            <w:r>
              <w:rPr>
                <w:sz w:val="20"/>
                <w:szCs w:val="20"/>
              </w:rPr>
              <w:t>ERCOT Staff has reviewed LPGRR069 and believes it has a positive market impact by providing market efficiencies and enhancements through the incorporation of Lubbock Power &amp; Light into the Load Profiling Guide and application of corrections to the Profile Decision Tree’s misnumbered Weather Zone Table.</w:t>
            </w:r>
          </w:p>
        </w:tc>
      </w:tr>
      <w:tr w:rsidR="006D21FD" w14:paraId="501837EF" w14:textId="77777777" w:rsidTr="006D21FD">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516A" w14:textId="77777777" w:rsidR="006D21FD" w:rsidRPr="006D21FD" w:rsidRDefault="006D21FD" w:rsidP="0029780D">
            <w:pPr>
              <w:spacing w:line="252" w:lineRule="auto"/>
              <w:rPr>
                <w:rFonts w:cs="Calibri"/>
                <w:b/>
                <w:bCs/>
                <w:color w:val="000000"/>
                <w:sz w:val="20"/>
                <w:szCs w:val="20"/>
              </w:rPr>
            </w:pPr>
            <w:r>
              <w:rPr>
                <w:rFonts w:cs="Calibri"/>
                <w:b/>
                <w:bCs/>
                <w:color w:val="000000"/>
                <w:sz w:val="20"/>
                <w:szCs w:val="20"/>
              </w:rPr>
              <w:t>170RMGRR</w:t>
            </w:r>
          </w:p>
        </w:tc>
        <w:tc>
          <w:tcPr>
            <w:tcW w:w="5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01831" w14:textId="77777777" w:rsidR="006D21FD" w:rsidRPr="006D21FD" w:rsidRDefault="006D21FD" w:rsidP="0029780D">
            <w:pPr>
              <w:spacing w:line="252" w:lineRule="auto"/>
              <w:rPr>
                <w:rFonts w:cs="Calibri"/>
                <w:b/>
                <w:bCs/>
                <w:color w:val="000000"/>
                <w:sz w:val="20"/>
                <w:szCs w:val="20"/>
              </w:rPr>
            </w:pPr>
            <w:r w:rsidRPr="006D21FD">
              <w:rPr>
                <w:rFonts w:cs="Calibri"/>
                <w:b/>
                <w:bCs/>
                <w:color w:val="000000"/>
                <w:sz w:val="20"/>
                <w:szCs w:val="20"/>
              </w:rPr>
              <w:t xml:space="preserve">Inadvertent Gain Process Updates.  </w:t>
            </w:r>
            <w:r w:rsidRPr="006D21FD">
              <w:rPr>
                <w:rFonts w:cs="Calibri"/>
                <w:color w:val="000000"/>
                <w:sz w:val="20"/>
                <w:szCs w:val="20"/>
              </w:rPr>
              <w:t>This Retail Market Guide Revision Request (RMGRR) addresses the following issues associated with the Inadvertent Gain/Loss (IAG) process.  [TXU Energy]</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CA9F" w14:textId="77777777" w:rsidR="006D21FD" w:rsidRPr="006D21FD" w:rsidRDefault="006D21FD" w:rsidP="0029780D">
            <w:pPr>
              <w:spacing w:line="252" w:lineRule="auto"/>
              <w:jc w:val="center"/>
              <w:rPr>
                <w:rFonts w:cs="Calibri"/>
                <w:color w:val="000000"/>
                <w:sz w:val="20"/>
                <w:szCs w:val="20"/>
              </w:rPr>
            </w:pPr>
            <w:r w:rsidRPr="006D21FD">
              <w:rPr>
                <w:rFonts w:cs="Calibri"/>
                <w:color w:val="000000"/>
                <w:sz w:val="20"/>
                <w:szCs w:val="20"/>
              </w:rPr>
              <w:t>Y</w:t>
            </w:r>
          </w:p>
        </w:tc>
        <w:tc>
          <w:tcPr>
            <w:tcW w:w="2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5FFCA" w14:textId="77777777" w:rsidR="006D21FD" w:rsidRDefault="006D21FD" w:rsidP="0029780D">
            <w:pPr>
              <w:spacing w:line="252" w:lineRule="auto"/>
              <w:rPr>
                <w:sz w:val="20"/>
                <w:szCs w:val="20"/>
              </w:rPr>
            </w:pPr>
            <w:r>
              <w:rPr>
                <w:sz w:val="20"/>
                <w:szCs w:val="20"/>
              </w:rPr>
              <w:t>ERCOT supports approval of RMGRR170.</w:t>
            </w:r>
          </w:p>
        </w:tc>
        <w:tc>
          <w:tcPr>
            <w:tcW w:w="3629" w:type="dxa"/>
            <w:tcBorders>
              <w:top w:val="single" w:sz="4" w:space="0" w:color="auto"/>
              <w:left w:val="single" w:sz="4" w:space="0" w:color="auto"/>
              <w:bottom w:val="single" w:sz="4" w:space="0" w:color="auto"/>
              <w:right w:val="single" w:sz="4" w:space="0" w:color="auto"/>
            </w:tcBorders>
          </w:tcPr>
          <w:p w14:paraId="41D2D3E8" w14:textId="77777777" w:rsidR="006D21FD" w:rsidRDefault="006D21FD" w:rsidP="0029780D">
            <w:pPr>
              <w:spacing w:line="252" w:lineRule="auto"/>
              <w:rPr>
                <w:sz w:val="20"/>
                <w:szCs w:val="20"/>
              </w:rPr>
            </w:pPr>
            <w:r>
              <w:rPr>
                <w:sz w:val="20"/>
                <w:szCs w:val="20"/>
              </w:rPr>
              <w:t>ERCOT Staff has reviewed RMGRR170 and believes the market impact for RMGRR170 does not violate existing rules as they pertain to Inadvertent Switches.</w:t>
            </w:r>
          </w:p>
        </w:tc>
      </w:tr>
    </w:tbl>
    <w:p w14:paraId="10BCEE7F" w14:textId="77777777" w:rsidR="00554C6B" w:rsidRPr="0001521E" w:rsidRDefault="00554C6B" w:rsidP="0001521E"/>
    <w:sectPr w:rsidR="00554C6B" w:rsidRPr="0001521E" w:rsidSect="00557905">
      <w:headerReference w:type="default" r:id="rId6"/>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63A2A" w14:textId="77777777" w:rsidR="00E7340C" w:rsidRDefault="00E7340C" w:rsidP="00985FF4">
      <w:r>
        <w:separator/>
      </w:r>
    </w:p>
  </w:endnote>
  <w:endnote w:type="continuationSeparator" w:id="0">
    <w:p w14:paraId="19429C41" w14:textId="77777777" w:rsidR="00E7340C" w:rsidRDefault="00E7340C" w:rsidP="0098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37DA5" w14:textId="77777777" w:rsidR="00E7340C" w:rsidRDefault="00E7340C" w:rsidP="00985FF4">
      <w:r>
        <w:separator/>
      </w:r>
    </w:p>
  </w:footnote>
  <w:footnote w:type="continuationSeparator" w:id="0">
    <w:p w14:paraId="54718E5E" w14:textId="77777777" w:rsidR="00E7340C" w:rsidRDefault="00E7340C" w:rsidP="00985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CB47F" w14:textId="53E94B89" w:rsidR="00985FF4" w:rsidRDefault="00985FF4" w:rsidP="00985FF4">
    <w:pPr>
      <w:pStyle w:val="Header"/>
      <w:jc w:val="center"/>
    </w:pPr>
    <w:r>
      <w:t xml:space="preserve">ERCOT Opinions </w:t>
    </w:r>
    <w:r w:rsidR="00557905">
      <w:t xml:space="preserve">and ERCOT Market Impact Statements </w:t>
    </w:r>
    <w:r>
      <w:t xml:space="preserve">for the </w:t>
    </w:r>
    <w:r w:rsidR="00283FFB">
      <w:t>10/26</w:t>
    </w:r>
    <w:r w:rsidR="0001521E">
      <w:t>/22</w:t>
    </w:r>
    <w:r w:rsidR="00032EC2">
      <w:t xml:space="preserve"> TAC Meeting</w:t>
    </w:r>
  </w:p>
  <w:p w14:paraId="2F5544A1" w14:textId="77777777" w:rsidR="00985FF4" w:rsidRDefault="00985FF4" w:rsidP="00985FF4">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FF4"/>
    <w:rsid w:val="000073FB"/>
    <w:rsid w:val="00014426"/>
    <w:rsid w:val="0001521E"/>
    <w:rsid w:val="00026668"/>
    <w:rsid w:val="00032EC2"/>
    <w:rsid w:val="000831A1"/>
    <w:rsid w:val="000A464D"/>
    <w:rsid w:val="000A7FEC"/>
    <w:rsid w:val="000B1891"/>
    <w:rsid w:val="000B5B40"/>
    <w:rsid w:val="000D0353"/>
    <w:rsid w:val="000D0F28"/>
    <w:rsid w:val="000F22EA"/>
    <w:rsid w:val="00101E68"/>
    <w:rsid w:val="00106FC1"/>
    <w:rsid w:val="0011791D"/>
    <w:rsid w:val="00124255"/>
    <w:rsid w:val="0012461F"/>
    <w:rsid w:val="00131AD8"/>
    <w:rsid w:val="001625B1"/>
    <w:rsid w:val="001A11D5"/>
    <w:rsid w:val="001A2D79"/>
    <w:rsid w:val="001B13CF"/>
    <w:rsid w:val="001B743A"/>
    <w:rsid w:val="001D2296"/>
    <w:rsid w:val="001F4319"/>
    <w:rsid w:val="001F4476"/>
    <w:rsid w:val="00210A3C"/>
    <w:rsid w:val="0023113D"/>
    <w:rsid w:val="00231C14"/>
    <w:rsid w:val="002378E5"/>
    <w:rsid w:val="00283FFB"/>
    <w:rsid w:val="00293347"/>
    <w:rsid w:val="002D37DF"/>
    <w:rsid w:val="002F35F9"/>
    <w:rsid w:val="0031372C"/>
    <w:rsid w:val="00320296"/>
    <w:rsid w:val="00320D47"/>
    <w:rsid w:val="003215C0"/>
    <w:rsid w:val="00321F9E"/>
    <w:rsid w:val="00346E37"/>
    <w:rsid w:val="003504F7"/>
    <w:rsid w:val="003524E8"/>
    <w:rsid w:val="003733F6"/>
    <w:rsid w:val="003A2191"/>
    <w:rsid w:val="003B12BD"/>
    <w:rsid w:val="003D1D46"/>
    <w:rsid w:val="003D6A28"/>
    <w:rsid w:val="003E1FAB"/>
    <w:rsid w:val="003E6433"/>
    <w:rsid w:val="003F25EE"/>
    <w:rsid w:val="0044443B"/>
    <w:rsid w:val="004447B8"/>
    <w:rsid w:val="004A5D45"/>
    <w:rsid w:val="004E1095"/>
    <w:rsid w:val="004F2E07"/>
    <w:rsid w:val="00502C7D"/>
    <w:rsid w:val="00536692"/>
    <w:rsid w:val="0054089F"/>
    <w:rsid w:val="00554C6B"/>
    <w:rsid w:val="00557905"/>
    <w:rsid w:val="00566AFF"/>
    <w:rsid w:val="0057069B"/>
    <w:rsid w:val="0058786D"/>
    <w:rsid w:val="00593488"/>
    <w:rsid w:val="005A278D"/>
    <w:rsid w:val="005B20DF"/>
    <w:rsid w:val="005D278C"/>
    <w:rsid w:val="005E147E"/>
    <w:rsid w:val="005E1FB0"/>
    <w:rsid w:val="006238D2"/>
    <w:rsid w:val="006256A5"/>
    <w:rsid w:val="0063436F"/>
    <w:rsid w:val="00663AA2"/>
    <w:rsid w:val="006679D2"/>
    <w:rsid w:val="00672B98"/>
    <w:rsid w:val="006B11F5"/>
    <w:rsid w:val="006B34E3"/>
    <w:rsid w:val="006B57A0"/>
    <w:rsid w:val="006C3CC8"/>
    <w:rsid w:val="006D21FD"/>
    <w:rsid w:val="006E2E22"/>
    <w:rsid w:val="006F0956"/>
    <w:rsid w:val="006F1E45"/>
    <w:rsid w:val="007109C1"/>
    <w:rsid w:val="00714445"/>
    <w:rsid w:val="00715A89"/>
    <w:rsid w:val="00715BF1"/>
    <w:rsid w:val="00723A40"/>
    <w:rsid w:val="00734E3F"/>
    <w:rsid w:val="00751815"/>
    <w:rsid w:val="007A3FD4"/>
    <w:rsid w:val="007D6858"/>
    <w:rsid w:val="007F3DD6"/>
    <w:rsid w:val="00805A86"/>
    <w:rsid w:val="00813BAC"/>
    <w:rsid w:val="00825E43"/>
    <w:rsid w:val="00841F6C"/>
    <w:rsid w:val="008874B6"/>
    <w:rsid w:val="00890DF0"/>
    <w:rsid w:val="008A1DA2"/>
    <w:rsid w:val="008B23B9"/>
    <w:rsid w:val="008E2215"/>
    <w:rsid w:val="008E5BDD"/>
    <w:rsid w:val="008F1FF2"/>
    <w:rsid w:val="00903D39"/>
    <w:rsid w:val="0091176A"/>
    <w:rsid w:val="00913E20"/>
    <w:rsid w:val="00922EE1"/>
    <w:rsid w:val="00931822"/>
    <w:rsid w:val="0096024F"/>
    <w:rsid w:val="00981A1E"/>
    <w:rsid w:val="00985FF4"/>
    <w:rsid w:val="00991077"/>
    <w:rsid w:val="00993006"/>
    <w:rsid w:val="009B27B4"/>
    <w:rsid w:val="009B474D"/>
    <w:rsid w:val="009B4BD7"/>
    <w:rsid w:val="009C5427"/>
    <w:rsid w:val="009D7DCD"/>
    <w:rsid w:val="009F28CC"/>
    <w:rsid w:val="00A21AB4"/>
    <w:rsid w:val="00A47CD1"/>
    <w:rsid w:val="00A6450D"/>
    <w:rsid w:val="00A715C7"/>
    <w:rsid w:val="00A75139"/>
    <w:rsid w:val="00A94986"/>
    <w:rsid w:val="00A96B54"/>
    <w:rsid w:val="00AA0971"/>
    <w:rsid w:val="00AA5D58"/>
    <w:rsid w:val="00AC0725"/>
    <w:rsid w:val="00AC0F63"/>
    <w:rsid w:val="00AD50EB"/>
    <w:rsid w:val="00B247DA"/>
    <w:rsid w:val="00B510EE"/>
    <w:rsid w:val="00B615F1"/>
    <w:rsid w:val="00B61A42"/>
    <w:rsid w:val="00B87C79"/>
    <w:rsid w:val="00BD2E29"/>
    <w:rsid w:val="00BD6400"/>
    <w:rsid w:val="00BE7782"/>
    <w:rsid w:val="00BF2584"/>
    <w:rsid w:val="00C174FF"/>
    <w:rsid w:val="00C232E6"/>
    <w:rsid w:val="00C2433B"/>
    <w:rsid w:val="00C27782"/>
    <w:rsid w:val="00C330BB"/>
    <w:rsid w:val="00C44799"/>
    <w:rsid w:val="00C67F93"/>
    <w:rsid w:val="00C80DBA"/>
    <w:rsid w:val="00C846DE"/>
    <w:rsid w:val="00C94AFF"/>
    <w:rsid w:val="00CA727A"/>
    <w:rsid w:val="00CC25B3"/>
    <w:rsid w:val="00D26039"/>
    <w:rsid w:val="00D436A5"/>
    <w:rsid w:val="00D54ED3"/>
    <w:rsid w:val="00D807DF"/>
    <w:rsid w:val="00DA2A46"/>
    <w:rsid w:val="00DC39B6"/>
    <w:rsid w:val="00DC6449"/>
    <w:rsid w:val="00DD53BA"/>
    <w:rsid w:val="00DE3961"/>
    <w:rsid w:val="00DF1748"/>
    <w:rsid w:val="00E02B59"/>
    <w:rsid w:val="00E238B8"/>
    <w:rsid w:val="00E53E2D"/>
    <w:rsid w:val="00E60BF8"/>
    <w:rsid w:val="00E62AA6"/>
    <w:rsid w:val="00E666FF"/>
    <w:rsid w:val="00E71BAA"/>
    <w:rsid w:val="00E7340C"/>
    <w:rsid w:val="00E76DAD"/>
    <w:rsid w:val="00E950DB"/>
    <w:rsid w:val="00EA187D"/>
    <w:rsid w:val="00EB4A3E"/>
    <w:rsid w:val="00F60A7B"/>
    <w:rsid w:val="00F638D5"/>
    <w:rsid w:val="00F66BDC"/>
    <w:rsid w:val="00F71DF8"/>
    <w:rsid w:val="00F72A15"/>
    <w:rsid w:val="00F73D35"/>
    <w:rsid w:val="00F96317"/>
    <w:rsid w:val="00FA2B06"/>
    <w:rsid w:val="00FC654A"/>
    <w:rsid w:val="00FC7B2E"/>
  </w:rsids>
  <m:mathPr>
    <m:mathFont m:val="Cambria Math"/>
    <m:brkBin m:val="before"/>
    <m:brkBinSub m:val="--"/>
    <m:smallFrac m:val="0"/>
    <m:dispDef/>
    <m:lMargin m:val="0"/>
    <m:rMargin m:val="0"/>
    <m:defJc m:val="centerGroup"/>
    <m:wrapIndent m:val="1440"/>
    <m:intLim m:val="undOvr"/>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DC107"/>
  <w15:chartTrackingRefBased/>
  <w15:docId w15:val="{5DEB0B30-7FFB-4CFB-914C-C7F40986B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FF4"/>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FF4"/>
    <w:pPr>
      <w:tabs>
        <w:tab w:val="center" w:pos="4680"/>
        <w:tab w:val="right" w:pos="9360"/>
      </w:tabs>
    </w:pPr>
  </w:style>
  <w:style w:type="character" w:customStyle="1" w:styleId="HeaderChar">
    <w:name w:val="Header Char"/>
    <w:basedOn w:val="DefaultParagraphFont"/>
    <w:link w:val="Header"/>
    <w:uiPriority w:val="99"/>
    <w:rsid w:val="00985FF4"/>
    <w:rPr>
      <w:rFonts w:ascii="Calibri" w:hAnsi="Calibri" w:cs="Times New Roman"/>
    </w:rPr>
  </w:style>
  <w:style w:type="paragraph" w:styleId="Footer">
    <w:name w:val="footer"/>
    <w:basedOn w:val="Normal"/>
    <w:link w:val="FooterChar"/>
    <w:uiPriority w:val="99"/>
    <w:unhideWhenUsed/>
    <w:rsid w:val="00985FF4"/>
    <w:pPr>
      <w:tabs>
        <w:tab w:val="center" w:pos="4680"/>
        <w:tab w:val="right" w:pos="9360"/>
      </w:tabs>
    </w:pPr>
  </w:style>
  <w:style w:type="character" w:customStyle="1" w:styleId="FooterChar">
    <w:name w:val="Footer Char"/>
    <w:basedOn w:val="DefaultParagraphFont"/>
    <w:link w:val="Footer"/>
    <w:uiPriority w:val="99"/>
    <w:rsid w:val="00985FF4"/>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4797">
      <w:bodyDiv w:val="1"/>
      <w:marLeft w:val="0"/>
      <w:marRight w:val="0"/>
      <w:marTop w:val="0"/>
      <w:marBottom w:val="0"/>
      <w:divBdr>
        <w:top w:val="none" w:sz="0" w:space="0" w:color="auto"/>
        <w:left w:val="none" w:sz="0" w:space="0" w:color="auto"/>
        <w:bottom w:val="none" w:sz="0" w:space="0" w:color="auto"/>
        <w:right w:val="none" w:sz="0" w:space="0" w:color="auto"/>
      </w:divBdr>
    </w:div>
    <w:div w:id="20672275">
      <w:bodyDiv w:val="1"/>
      <w:marLeft w:val="0"/>
      <w:marRight w:val="0"/>
      <w:marTop w:val="0"/>
      <w:marBottom w:val="0"/>
      <w:divBdr>
        <w:top w:val="none" w:sz="0" w:space="0" w:color="auto"/>
        <w:left w:val="none" w:sz="0" w:space="0" w:color="auto"/>
        <w:bottom w:val="none" w:sz="0" w:space="0" w:color="auto"/>
        <w:right w:val="none" w:sz="0" w:space="0" w:color="auto"/>
      </w:divBdr>
    </w:div>
    <w:div w:id="82455255">
      <w:bodyDiv w:val="1"/>
      <w:marLeft w:val="0"/>
      <w:marRight w:val="0"/>
      <w:marTop w:val="0"/>
      <w:marBottom w:val="0"/>
      <w:divBdr>
        <w:top w:val="none" w:sz="0" w:space="0" w:color="auto"/>
        <w:left w:val="none" w:sz="0" w:space="0" w:color="auto"/>
        <w:bottom w:val="none" w:sz="0" w:space="0" w:color="auto"/>
        <w:right w:val="none" w:sz="0" w:space="0" w:color="auto"/>
      </w:divBdr>
    </w:div>
    <w:div w:id="117261542">
      <w:bodyDiv w:val="1"/>
      <w:marLeft w:val="0"/>
      <w:marRight w:val="0"/>
      <w:marTop w:val="0"/>
      <w:marBottom w:val="0"/>
      <w:divBdr>
        <w:top w:val="none" w:sz="0" w:space="0" w:color="auto"/>
        <w:left w:val="none" w:sz="0" w:space="0" w:color="auto"/>
        <w:bottom w:val="none" w:sz="0" w:space="0" w:color="auto"/>
        <w:right w:val="none" w:sz="0" w:space="0" w:color="auto"/>
      </w:divBdr>
    </w:div>
    <w:div w:id="128789716">
      <w:bodyDiv w:val="1"/>
      <w:marLeft w:val="0"/>
      <w:marRight w:val="0"/>
      <w:marTop w:val="0"/>
      <w:marBottom w:val="0"/>
      <w:divBdr>
        <w:top w:val="none" w:sz="0" w:space="0" w:color="auto"/>
        <w:left w:val="none" w:sz="0" w:space="0" w:color="auto"/>
        <w:bottom w:val="none" w:sz="0" w:space="0" w:color="auto"/>
        <w:right w:val="none" w:sz="0" w:space="0" w:color="auto"/>
      </w:divBdr>
    </w:div>
    <w:div w:id="162162856">
      <w:bodyDiv w:val="1"/>
      <w:marLeft w:val="0"/>
      <w:marRight w:val="0"/>
      <w:marTop w:val="0"/>
      <w:marBottom w:val="0"/>
      <w:divBdr>
        <w:top w:val="none" w:sz="0" w:space="0" w:color="auto"/>
        <w:left w:val="none" w:sz="0" w:space="0" w:color="auto"/>
        <w:bottom w:val="none" w:sz="0" w:space="0" w:color="auto"/>
        <w:right w:val="none" w:sz="0" w:space="0" w:color="auto"/>
      </w:divBdr>
    </w:div>
    <w:div w:id="201597525">
      <w:bodyDiv w:val="1"/>
      <w:marLeft w:val="0"/>
      <w:marRight w:val="0"/>
      <w:marTop w:val="0"/>
      <w:marBottom w:val="0"/>
      <w:divBdr>
        <w:top w:val="none" w:sz="0" w:space="0" w:color="auto"/>
        <w:left w:val="none" w:sz="0" w:space="0" w:color="auto"/>
        <w:bottom w:val="none" w:sz="0" w:space="0" w:color="auto"/>
        <w:right w:val="none" w:sz="0" w:space="0" w:color="auto"/>
      </w:divBdr>
    </w:div>
    <w:div w:id="252594840">
      <w:bodyDiv w:val="1"/>
      <w:marLeft w:val="0"/>
      <w:marRight w:val="0"/>
      <w:marTop w:val="0"/>
      <w:marBottom w:val="0"/>
      <w:divBdr>
        <w:top w:val="none" w:sz="0" w:space="0" w:color="auto"/>
        <w:left w:val="none" w:sz="0" w:space="0" w:color="auto"/>
        <w:bottom w:val="none" w:sz="0" w:space="0" w:color="auto"/>
        <w:right w:val="none" w:sz="0" w:space="0" w:color="auto"/>
      </w:divBdr>
    </w:div>
    <w:div w:id="277222086">
      <w:bodyDiv w:val="1"/>
      <w:marLeft w:val="0"/>
      <w:marRight w:val="0"/>
      <w:marTop w:val="0"/>
      <w:marBottom w:val="0"/>
      <w:divBdr>
        <w:top w:val="none" w:sz="0" w:space="0" w:color="auto"/>
        <w:left w:val="none" w:sz="0" w:space="0" w:color="auto"/>
        <w:bottom w:val="none" w:sz="0" w:space="0" w:color="auto"/>
        <w:right w:val="none" w:sz="0" w:space="0" w:color="auto"/>
      </w:divBdr>
    </w:div>
    <w:div w:id="299460016">
      <w:bodyDiv w:val="1"/>
      <w:marLeft w:val="0"/>
      <w:marRight w:val="0"/>
      <w:marTop w:val="0"/>
      <w:marBottom w:val="0"/>
      <w:divBdr>
        <w:top w:val="none" w:sz="0" w:space="0" w:color="auto"/>
        <w:left w:val="none" w:sz="0" w:space="0" w:color="auto"/>
        <w:bottom w:val="none" w:sz="0" w:space="0" w:color="auto"/>
        <w:right w:val="none" w:sz="0" w:space="0" w:color="auto"/>
      </w:divBdr>
    </w:div>
    <w:div w:id="309361485">
      <w:bodyDiv w:val="1"/>
      <w:marLeft w:val="0"/>
      <w:marRight w:val="0"/>
      <w:marTop w:val="0"/>
      <w:marBottom w:val="0"/>
      <w:divBdr>
        <w:top w:val="none" w:sz="0" w:space="0" w:color="auto"/>
        <w:left w:val="none" w:sz="0" w:space="0" w:color="auto"/>
        <w:bottom w:val="none" w:sz="0" w:space="0" w:color="auto"/>
        <w:right w:val="none" w:sz="0" w:space="0" w:color="auto"/>
      </w:divBdr>
    </w:div>
    <w:div w:id="320355680">
      <w:bodyDiv w:val="1"/>
      <w:marLeft w:val="0"/>
      <w:marRight w:val="0"/>
      <w:marTop w:val="0"/>
      <w:marBottom w:val="0"/>
      <w:divBdr>
        <w:top w:val="none" w:sz="0" w:space="0" w:color="auto"/>
        <w:left w:val="none" w:sz="0" w:space="0" w:color="auto"/>
        <w:bottom w:val="none" w:sz="0" w:space="0" w:color="auto"/>
        <w:right w:val="none" w:sz="0" w:space="0" w:color="auto"/>
      </w:divBdr>
    </w:div>
    <w:div w:id="374476658">
      <w:bodyDiv w:val="1"/>
      <w:marLeft w:val="0"/>
      <w:marRight w:val="0"/>
      <w:marTop w:val="0"/>
      <w:marBottom w:val="0"/>
      <w:divBdr>
        <w:top w:val="none" w:sz="0" w:space="0" w:color="auto"/>
        <w:left w:val="none" w:sz="0" w:space="0" w:color="auto"/>
        <w:bottom w:val="none" w:sz="0" w:space="0" w:color="auto"/>
        <w:right w:val="none" w:sz="0" w:space="0" w:color="auto"/>
      </w:divBdr>
    </w:div>
    <w:div w:id="387534336">
      <w:bodyDiv w:val="1"/>
      <w:marLeft w:val="0"/>
      <w:marRight w:val="0"/>
      <w:marTop w:val="0"/>
      <w:marBottom w:val="0"/>
      <w:divBdr>
        <w:top w:val="none" w:sz="0" w:space="0" w:color="auto"/>
        <w:left w:val="none" w:sz="0" w:space="0" w:color="auto"/>
        <w:bottom w:val="none" w:sz="0" w:space="0" w:color="auto"/>
        <w:right w:val="none" w:sz="0" w:space="0" w:color="auto"/>
      </w:divBdr>
    </w:div>
    <w:div w:id="399668657">
      <w:bodyDiv w:val="1"/>
      <w:marLeft w:val="0"/>
      <w:marRight w:val="0"/>
      <w:marTop w:val="0"/>
      <w:marBottom w:val="0"/>
      <w:divBdr>
        <w:top w:val="none" w:sz="0" w:space="0" w:color="auto"/>
        <w:left w:val="none" w:sz="0" w:space="0" w:color="auto"/>
        <w:bottom w:val="none" w:sz="0" w:space="0" w:color="auto"/>
        <w:right w:val="none" w:sz="0" w:space="0" w:color="auto"/>
      </w:divBdr>
    </w:div>
    <w:div w:id="400564386">
      <w:bodyDiv w:val="1"/>
      <w:marLeft w:val="0"/>
      <w:marRight w:val="0"/>
      <w:marTop w:val="0"/>
      <w:marBottom w:val="0"/>
      <w:divBdr>
        <w:top w:val="none" w:sz="0" w:space="0" w:color="auto"/>
        <w:left w:val="none" w:sz="0" w:space="0" w:color="auto"/>
        <w:bottom w:val="none" w:sz="0" w:space="0" w:color="auto"/>
        <w:right w:val="none" w:sz="0" w:space="0" w:color="auto"/>
      </w:divBdr>
    </w:div>
    <w:div w:id="486745387">
      <w:bodyDiv w:val="1"/>
      <w:marLeft w:val="0"/>
      <w:marRight w:val="0"/>
      <w:marTop w:val="0"/>
      <w:marBottom w:val="0"/>
      <w:divBdr>
        <w:top w:val="none" w:sz="0" w:space="0" w:color="auto"/>
        <w:left w:val="none" w:sz="0" w:space="0" w:color="auto"/>
        <w:bottom w:val="none" w:sz="0" w:space="0" w:color="auto"/>
        <w:right w:val="none" w:sz="0" w:space="0" w:color="auto"/>
      </w:divBdr>
    </w:div>
    <w:div w:id="539250297">
      <w:bodyDiv w:val="1"/>
      <w:marLeft w:val="0"/>
      <w:marRight w:val="0"/>
      <w:marTop w:val="0"/>
      <w:marBottom w:val="0"/>
      <w:divBdr>
        <w:top w:val="none" w:sz="0" w:space="0" w:color="auto"/>
        <w:left w:val="none" w:sz="0" w:space="0" w:color="auto"/>
        <w:bottom w:val="none" w:sz="0" w:space="0" w:color="auto"/>
        <w:right w:val="none" w:sz="0" w:space="0" w:color="auto"/>
      </w:divBdr>
    </w:div>
    <w:div w:id="569391016">
      <w:bodyDiv w:val="1"/>
      <w:marLeft w:val="0"/>
      <w:marRight w:val="0"/>
      <w:marTop w:val="0"/>
      <w:marBottom w:val="0"/>
      <w:divBdr>
        <w:top w:val="none" w:sz="0" w:space="0" w:color="auto"/>
        <w:left w:val="none" w:sz="0" w:space="0" w:color="auto"/>
        <w:bottom w:val="none" w:sz="0" w:space="0" w:color="auto"/>
        <w:right w:val="none" w:sz="0" w:space="0" w:color="auto"/>
      </w:divBdr>
    </w:div>
    <w:div w:id="575475117">
      <w:bodyDiv w:val="1"/>
      <w:marLeft w:val="0"/>
      <w:marRight w:val="0"/>
      <w:marTop w:val="0"/>
      <w:marBottom w:val="0"/>
      <w:divBdr>
        <w:top w:val="none" w:sz="0" w:space="0" w:color="auto"/>
        <w:left w:val="none" w:sz="0" w:space="0" w:color="auto"/>
        <w:bottom w:val="none" w:sz="0" w:space="0" w:color="auto"/>
        <w:right w:val="none" w:sz="0" w:space="0" w:color="auto"/>
      </w:divBdr>
    </w:div>
    <w:div w:id="586500506">
      <w:bodyDiv w:val="1"/>
      <w:marLeft w:val="0"/>
      <w:marRight w:val="0"/>
      <w:marTop w:val="0"/>
      <w:marBottom w:val="0"/>
      <w:divBdr>
        <w:top w:val="none" w:sz="0" w:space="0" w:color="auto"/>
        <w:left w:val="none" w:sz="0" w:space="0" w:color="auto"/>
        <w:bottom w:val="none" w:sz="0" w:space="0" w:color="auto"/>
        <w:right w:val="none" w:sz="0" w:space="0" w:color="auto"/>
      </w:divBdr>
    </w:div>
    <w:div w:id="634944373">
      <w:bodyDiv w:val="1"/>
      <w:marLeft w:val="0"/>
      <w:marRight w:val="0"/>
      <w:marTop w:val="0"/>
      <w:marBottom w:val="0"/>
      <w:divBdr>
        <w:top w:val="none" w:sz="0" w:space="0" w:color="auto"/>
        <w:left w:val="none" w:sz="0" w:space="0" w:color="auto"/>
        <w:bottom w:val="none" w:sz="0" w:space="0" w:color="auto"/>
        <w:right w:val="none" w:sz="0" w:space="0" w:color="auto"/>
      </w:divBdr>
    </w:div>
    <w:div w:id="640234435">
      <w:bodyDiv w:val="1"/>
      <w:marLeft w:val="0"/>
      <w:marRight w:val="0"/>
      <w:marTop w:val="0"/>
      <w:marBottom w:val="0"/>
      <w:divBdr>
        <w:top w:val="none" w:sz="0" w:space="0" w:color="auto"/>
        <w:left w:val="none" w:sz="0" w:space="0" w:color="auto"/>
        <w:bottom w:val="none" w:sz="0" w:space="0" w:color="auto"/>
        <w:right w:val="none" w:sz="0" w:space="0" w:color="auto"/>
      </w:divBdr>
    </w:div>
    <w:div w:id="684674088">
      <w:bodyDiv w:val="1"/>
      <w:marLeft w:val="0"/>
      <w:marRight w:val="0"/>
      <w:marTop w:val="0"/>
      <w:marBottom w:val="0"/>
      <w:divBdr>
        <w:top w:val="none" w:sz="0" w:space="0" w:color="auto"/>
        <w:left w:val="none" w:sz="0" w:space="0" w:color="auto"/>
        <w:bottom w:val="none" w:sz="0" w:space="0" w:color="auto"/>
        <w:right w:val="none" w:sz="0" w:space="0" w:color="auto"/>
      </w:divBdr>
    </w:div>
    <w:div w:id="775951168">
      <w:bodyDiv w:val="1"/>
      <w:marLeft w:val="0"/>
      <w:marRight w:val="0"/>
      <w:marTop w:val="0"/>
      <w:marBottom w:val="0"/>
      <w:divBdr>
        <w:top w:val="none" w:sz="0" w:space="0" w:color="auto"/>
        <w:left w:val="none" w:sz="0" w:space="0" w:color="auto"/>
        <w:bottom w:val="none" w:sz="0" w:space="0" w:color="auto"/>
        <w:right w:val="none" w:sz="0" w:space="0" w:color="auto"/>
      </w:divBdr>
    </w:div>
    <w:div w:id="799686778">
      <w:bodyDiv w:val="1"/>
      <w:marLeft w:val="0"/>
      <w:marRight w:val="0"/>
      <w:marTop w:val="0"/>
      <w:marBottom w:val="0"/>
      <w:divBdr>
        <w:top w:val="none" w:sz="0" w:space="0" w:color="auto"/>
        <w:left w:val="none" w:sz="0" w:space="0" w:color="auto"/>
        <w:bottom w:val="none" w:sz="0" w:space="0" w:color="auto"/>
        <w:right w:val="none" w:sz="0" w:space="0" w:color="auto"/>
      </w:divBdr>
    </w:div>
    <w:div w:id="866137790">
      <w:bodyDiv w:val="1"/>
      <w:marLeft w:val="0"/>
      <w:marRight w:val="0"/>
      <w:marTop w:val="0"/>
      <w:marBottom w:val="0"/>
      <w:divBdr>
        <w:top w:val="none" w:sz="0" w:space="0" w:color="auto"/>
        <w:left w:val="none" w:sz="0" w:space="0" w:color="auto"/>
        <w:bottom w:val="none" w:sz="0" w:space="0" w:color="auto"/>
        <w:right w:val="none" w:sz="0" w:space="0" w:color="auto"/>
      </w:divBdr>
    </w:div>
    <w:div w:id="880553755">
      <w:bodyDiv w:val="1"/>
      <w:marLeft w:val="0"/>
      <w:marRight w:val="0"/>
      <w:marTop w:val="0"/>
      <w:marBottom w:val="0"/>
      <w:divBdr>
        <w:top w:val="none" w:sz="0" w:space="0" w:color="auto"/>
        <w:left w:val="none" w:sz="0" w:space="0" w:color="auto"/>
        <w:bottom w:val="none" w:sz="0" w:space="0" w:color="auto"/>
        <w:right w:val="none" w:sz="0" w:space="0" w:color="auto"/>
      </w:divBdr>
    </w:div>
    <w:div w:id="881475590">
      <w:bodyDiv w:val="1"/>
      <w:marLeft w:val="0"/>
      <w:marRight w:val="0"/>
      <w:marTop w:val="0"/>
      <w:marBottom w:val="0"/>
      <w:divBdr>
        <w:top w:val="none" w:sz="0" w:space="0" w:color="auto"/>
        <w:left w:val="none" w:sz="0" w:space="0" w:color="auto"/>
        <w:bottom w:val="none" w:sz="0" w:space="0" w:color="auto"/>
        <w:right w:val="none" w:sz="0" w:space="0" w:color="auto"/>
      </w:divBdr>
    </w:div>
    <w:div w:id="886452624">
      <w:bodyDiv w:val="1"/>
      <w:marLeft w:val="0"/>
      <w:marRight w:val="0"/>
      <w:marTop w:val="0"/>
      <w:marBottom w:val="0"/>
      <w:divBdr>
        <w:top w:val="none" w:sz="0" w:space="0" w:color="auto"/>
        <w:left w:val="none" w:sz="0" w:space="0" w:color="auto"/>
        <w:bottom w:val="none" w:sz="0" w:space="0" w:color="auto"/>
        <w:right w:val="none" w:sz="0" w:space="0" w:color="auto"/>
      </w:divBdr>
    </w:div>
    <w:div w:id="888421375">
      <w:bodyDiv w:val="1"/>
      <w:marLeft w:val="0"/>
      <w:marRight w:val="0"/>
      <w:marTop w:val="0"/>
      <w:marBottom w:val="0"/>
      <w:divBdr>
        <w:top w:val="none" w:sz="0" w:space="0" w:color="auto"/>
        <w:left w:val="none" w:sz="0" w:space="0" w:color="auto"/>
        <w:bottom w:val="none" w:sz="0" w:space="0" w:color="auto"/>
        <w:right w:val="none" w:sz="0" w:space="0" w:color="auto"/>
      </w:divBdr>
    </w:div>
    <w:div w:id="897403659">
      <w:bodyDiv w:val="1"/>
      <w:marLeft w:val="0"/>
      <w:marRight w:val="0"/>
      <w:marTop w:val="0"/>
      <w:marBottom w:val="0"/>
      <w:divBdr>
        <w:top w:val="none" w:sz="0" w:space="0" w:color="auto"/>
        <w:left w:val="none" w:sz="0" w:space="0" w:color="auto"/>
        <w:bottom w:val="none" w:sz="0" w:space="0" w:color="auto"/>
        <w:right w:val="none" w:sz="0" w:space="0" w:color="auto"/>
      </w:divBdr>
    </w:div>
    <w:div w:id="937372124">
      <w:bodyDiv w:val="1"/>
      <w:marLeft w:val="0"/>
      <w:marRight w:val="0"/>
      <w:marTop w:val="0"/>
      <w:marBottom w:val="0"/>
      <w:divBdr>
        <w:top w:val="none" w:sz="0" w:space="0" w:color="auto"/>
        <w:left w:val="none" w:sz="0" w:space="0" w:color="auto"/>
        <w:bottom w:val="none" w:sz="0" w:space="0" w:color="auto"/>
        <w:right w:val="none" w:sz="0" w:space="0" w:color="auto"/>
      </w:divBdr>
    </w:div>
    <w:div w:id="938179406">
      <w:bodyDiv w:val="1"/>
      <w:marLeft w:val="0"/>
      <w:marRight w:val="0"/>
      <w:marTop w:val="0"/>
      <w:marBottom w:val="0"/>
      <w:divBdr>
        <w:top w:val="none" w:sz="0" w:space="0" w:color="auto"/>
        <w:left w:val="none" w:sz="0" w:space="0" w:color="auto"/>
        <w:bottom w:val="none" w:sz="0" w:space="0" w:color="auto"/>
        <w:right w:val="none" w:sz="0" w:space="0" w:color="auto"/>
      </w:divBdr>
    </w:div>
    <w:div w:id="987436892">
      <w:bodyDiv w:val="1"/>
      <w:marLeft w:val="0"/>
      <w:marRight w:val="0"/>
      <w:marTop w:val="0"/>
      <w:marBottom w:val="0"/>
      <w:divBdr>
        <w:top w:val="none" w:sz="0" w:space="0" w:color="auto"/>
        <w:left w:val="none" w:sz="0" w:space="0" w:color="auto"/>
        <w:bottom w:val="none" w:sz="0" w:space="0" w:color="auto"/>
        <w:right w:val="none" w:sz="0" w:space="0" w:color="auto"/>
      </w:divBdr>
    </w:div>
    <w:div w:id="1012027016">
      <w:bodyDiv w:val="1"/>
      <w:marLeft w:val="0"/>
      <w:marRight w:val="0"/>
      <w:marTop w:val="0"/>
      <w:marBottom w:val="0"/>
      <w:divBdr>
        <w:top w:val="none" w:sz="0" w:space="0" w:color="auto"/>
        <w:left w:val="none" w:sz="0" w:space="0" w:color="auto"/>
        <w:bottom w:val="none" w:sz="0" w:space="0" w:color="auto"/>
        <w:right w:val="none" w:sz="0" w:space="0" w:color="auto"/>
      </w:divBdr>
    </w:div>
    <w:div w:id="1044254074">
      <w:bodyDiv w:val="1"/>
      <w:marLeft w:val="0"/>
      <w:marRight w:val="0"/>
      <w:marTop w:val="0"/>
      <w:marBottom w:val="0"/>
      <w:divBdr>
        <w:top w:val="none" w:sz="0" w:space="0" w:color="auto"/>
        <w:left w:val="none" w:sz="0" w:space="0" w:color="auto"/>
        <w:bottom w:val="none" w:sz="0" w:space="0" w:color="auto"/>
        <w:right w:val="none" w:sz="0" w:space="0" w:color="auto"/>
      </w:divBdr>
    </w:div>
    <w:div w:id="1076709242">
      <w:bodyDiv w:val="1"/>
      <w:marLeft w:val="0"/>
      <w:marRight w:val="0"/>
      <w:marTop w:val="0"/>
      <w:marBottom w:val="0"/>
      <w:divBdr>
        <w:top w:val="none" w:sz="0" w:space="0" w:color="auto"/>
        <w:left w:val="none" w:sz="0" w:space="0" w:color="auto"/>
        <w:bottom w:val="none" w:sz="0" w:space="0" w:color="auto"/>
        <w:right w:val="none" w:sz="0" w:space="0" w:color="auto"/>
      </w:divBdr>
    </w:div>
    <w:div w:id="1081294511">
      <w:bodyDiv w:val="1"/>
      <w:marLeft w:val="0"/>
      <w:marRight w:val="0"/>
      <w:marTop w:val="0"/>
      <w:marBottom w:val="0"/>
      <w:divBdr>
        <w:top w:val="none" w:sz="0" w:space="0" w:color="auto"/>
        <w:left w:val="none" w:sz="0" w:space="0" w:color="auto"/>
        <w:bottom w:val="none" w:sz="0" w:space="0" w:color="auto"/>
        <w:right w:val="none" w:sz="0" w:space="0" w:color="auto"/>
      </w:divBdr>
    </w:div>
    <w:div w:id="1082609131">
      <w:bodyDiv w:val="1"/>
      <w:marLeft w:val="0"/>
      <w:marRight w:val="0"/>
      <w:marTop w:val="0"/>
      <w:marBottom w:val="0"/>
      <w:divBdr>
        <w:top w:val="none" w:sz="0" w:space="0" w:color="auto"/>
        <w:left w:val="none" w:sz="0" w:space="0" w:color="auto"/>
        <w:bottom w:val="none" w:sz="0" w:space="0" w:color="auto"/>
        <w:right w:val="none" w:sz="0" w:space="0" w:color="auto"/>
      </w:divBdr>
    </w:div>
    <w:div w:id="1137064366">
      <w:bodyDiv w:val="1"/>
      <w:marLeft w:val="0"/>
      <w:marRight w:val="0"/>
      <w:marTop w:val="0"/>
      <w:marBottom w:val="0"/>
      <w:divBdr>
        <w:top w:val="none" w:sz="0" w:space="0" w:color="auto"/>
        <w:left w:val="none" w:sz="0" w:space="0" w:color="auto"/>
        <w:bottom w:val="none" w:sz="0" w:space="0" w:color="auto"/>
        <w:right w:val="none" w:sz="0" w:space="0" w:color="auto"/>
      </w:divBdr>
    </w:div>
    <w:div w:id="1198589229">
      <w:bodyDiv w:val="1"/>
      <w:marLeft w:val="0"/>
      <w:marRight w:val="0"/>
      <w:marTop w:val="0"/>
      <w:marBottom w:val="0"/>
      <w:divBdr>
        <w:top w:val="none" w:sz="0" w:space="0" w:color="auto"/>
        <w:left w:val="none" w:sz="0" w:space="0" w:color="auto"/>
        <w:bottom w:val="none" w:sz="0" w:space="0" w:color="auto"/>
        <w:right w:val="none" w:sz="0" w:space="0" w:color="auto"/>
      </w:divBdr>
    </w:div>
    <w:div w:id="1225720700">
      <w:bodyDiv w:val="1"/>
      <w:marLeft w:val="0"/>
      <w:marRight w:val="0"/>
      <w:marTop w:val="0"/>
      <w:marBottom w:val="0"/>
      <w:divBdr>
        <w:top w:val="none" w:sz="0" w:space="0" w:color="auto"/>
        <w:left w:val="none" w:sz="0" w:space="0" w:color="auto"/>
        <w:bottom w:val="none" w:sz="0" w:space="0" w:color="auto"/>
        <w:right w:val="none" w:sz="0" w:space="0" w:color="auto"/>
      </w:divBdr>
    </w:div>
    <w:div w:id="1229805086">
      <w:bodyDiv w:val="1"/>
      <w:marLeft w:val="0"/>
      <w:marRight w:val="0"/>
      <w:marTop w:val="0"/>
      <w:marBottom w:val="0"/>
      <w:divBdr>
        <w:top w:val="none" w:sz="0" w:space="0" w:color="auto"/>
        <w:left w:val="none" w:sz="0" w:space="0" w:color="auto"/>
        <w:bottom w:val="none" w:sz="0" w:space="0" w:color="auto"/>
        <w:right w:val="none" w:sz="0" w:space="0" w:color="auto"/>
      </w:divBdr>
    </w:div>
    <w:div w:id="1283027657">
      <w:bodyDiv w:val="1"/>
      <w:marLeft w:val="0"/>
      <w:marRight w:val="0"/>
      <w:marTop w:val="0"/>
      <w:marBottom w:val="0"/>
      <w:divBdr>
        <w:top w:val="none" w:sz="0" w:space="0" w:color="auto"/>
        <w:left w:val="none" w:sz="0" w:space="0" w:color="auto"/>
        <w:bottom w:val="none" w:sz="0" w:space="0" w:color="auto"/>
        <w:right w:val="none" w:sz="0" w:space="0" w:color="auto"/>
      </w:divBdr>
    </w:div>
    <w:div w:id="1356153769">
      <w:bodyDiv w:val="1"/>
      <w:marLeft w:val="0"/>
      <w:marRight w:val="0"/>
      <w:marTop w:val="0"/>
      <w:marBottom w:val="0"/>
      <w:divBdr>
        <w:top w:val="none" w:sz="0" w:space="0" w:color="auto"/>
        <w:left w:val="none" w:sz="0" w:space="0" w:color="auto"/>
        <w:bottom w:val="none" w:sz="0" w:space="0" w:color="auto"/>
        <w:right w:val="none" w:sz="0" w:space="0" w:color="auto"/>
      </w:divBdr>
    </w:div>
    <w:div w:id="1382973251">
      <w:bodyDiv w:val="1"/>
      <w:marLeft w:val="0"/>
      <w:marRight w:val="0"/>
      <w:marTop w:val="0"/>
      <w:marBottom w:val="0"/>
      <w:divBdr>
        <w:top w:val="none" w:sz="0" w:space="0" w:color="auto"/>
        <w:left w:val="none" w:sz="0" w:space="0" w:color="auto"/>
        <w:bottom w:val="none" w:sz="0" w:space="0" w:color="auto"/>
        <w:right w:val="none" w:sz="0" w:space="0" w:color="auto"/>
      </w:divBdr>
    </w:div>
    <w:div w:id="1400716356">
      <w:bodyDiv w:val="1"/>
      <w:marLeft w:val="0"/>
      <w:marRight w:val="0"/>
      <w:marTop w:val="0"/>
      <w:marBottom w:val="0"/>
      <w:divBdr>
        <w:top w:val="none" w:sz="0" w:space="0" w:color="auto"/>
        <w:left w:val="none" w:sz="0" w:space="0" w:color="auto"/>
        <w:bottom w:val="none" w:sz="0" w:space="0" w:color="auto"/>
        <w:right w:val="none" w:sz="0" w:space="0" w:color="auto"/>
      </w:divBdr>
    </w:div>
    <w:div w:id="1402563351">
      <w:bodyDiv w:val="1"/>
      <w:marLeft w:val="0"/>
      <w:marRight w:val="0"/>
      <w:marTop w:val="0"/>
      <w:marBottom w:val="0"/>
      <w:divBdr>
        <w:top w:val="none" w:sz="0" w:space="0" w:color="auto"/>
        <w:left w:val="none" w:sz="0" w:space="0" w:color="auto"/>
        <w:bottom w:val="none" w:sz="0" w:space="0" w:color="auto"/>
        <w:right w:val="none" w:sz="0" w:space="0" w:color="auto"/>
      </w:divBdr>
    </w:div>
    <w:div w:id="1443721862">
      <w:bodyDiv w:val="1"/>
      <w:marLeft w:val="0"/>
      <w:marRight w:val="0"/>
      <w:marTop w:val="0"/>
      <w:marBottom w:val="0"/>
      <w:divBdr>
        <w:top w:val="none" w:sz="0" w:space="0" w:color="auto"/>
        <w:left w:val="none" w:sz="0" w:space="0" w:color="auto"/>
        <w:bottom w:val="none" w:sz="0" w:space="0" w:color="auto"/>
        <w:right w:val="none" w:sz="0" w:space="0" w:color="auto"/>
      </w:divBdr>
    </w:div>
    <w:div w:id="1456291586">
      <w:bodyDiv w:val="1"/>
      <w:marLeft w:val="0"/>
      <w:marRight w:val="0"/>
      <w:marTop w:val="0"/>
      <w:marBottom w:val="0"/>
      <w:divBdr>
        <w:top w:val="none" w:sz="0" w:space="0" w:color="auto"/>
        <w:left w:val="none" w:sz="0" w:space="0" w:color="auto"/>
        <w:bottom w:val="none" w:sz="0" w:space="0" w:color="auto"/>
        <w:right w:val="none" w:sz="0" w:space="0" w:color="auto"/>
      </w:divBdr>
    </w:div>
    <w:div w:id="1511720965">
      <w:bodyDiv w:val="1"/>
      <w:marLeft w:val="0"/>
      <w:marRight w:val="0"/>
      <w:marTop w:val="0"/>
      <w:marBottom w:val="0"/>
      <w:divBdr>
        <w:top w:val="none" w:sz="0" w:space="0" w:color="auto"/>
        <w:left w:val="none" w:sz="0" w:space="0" w:color="auto"/>
        <w:bottom w:val="none" w:sz="0" w:space="0" w:color="auto"/>
        <w:right w:val="none" w:sz="0" w:space="0" w:color="auto"/>
      </w:divBdr>
    </w:div>
    <w:div w:id="1563639872">
      <w:bodyDiv w:val="1"/>
      <w:marLeft w:val="0"/>
      <w:marRight w:val="0"/>
      <w:marTop w:val="0"/>
      <w:marBottom w:val="0"/>
      <w:divBdr>
        <w:top w:val="none" w:sz="0" w:space="0" w:color="auto"/>
        <w:left w:val="none" w:sz="0" w:space="0" w:color="auto"/>
        <w:bottom w:val="none" w:sz="0" w:space="0" w:color="auto"/>
        <w:right w:val="none" w:sz="0" w:space="0" w:color="auto"/>
      </w:divBdr>
    </w:div>
    <w:div w:id="1586107156">
      <w:bodyDiv w:val="1"/>
      <w:marLeft w:val="0"/>
      <w:marRight w:val="0"/>
      <w:marTop w:val="0"/>
      <w:marBottom w:val="0"/>
      <w:divBdr>
        <w:top w:val="none" w:sz="0" w:space="0" w:color="auto"/>
        <w:left w:val="none" w:sz="0" w:space="0" w:color="auto"/>
        <w:bottom w:val="none" w:sz="0" w:space="0" w:color="auto"/>
        <w:right w:val="none" w:sz="0" w:space="0" w:color="auto"/>
      </w:divBdr>
    </w:div>
    <w:div w:id="1601722405">
      <w:bodyDiv w:val="1"/>
      <w:marLeft w:val="0"/>
      <w:marRight w:val="0"/>
      <w:marTop w:val="0"/>
      <w:marBottom w:val="0"/>
      <w:divBdr>
        <w:top w:val="none" w:sz="0" w:space="0" w:color="auto"/>
        <w:left w:val="none" w:sz="0" w:space="0" w:color="auto"/>
        <w:bottom w:val="none" w:sz="0" w:space="0" w:color="auto"/>
        <w:right w:val="none" w:sz="0" w:space="0" w:color="auto"/>
      </w:divBdr>
    </w:div>
    <w:div w:id="1627657565">
      <w:bodyDiv w:val="1"/>
      <w:marLeft w:val="0"/>
      <w:marRight w:val="0"/>
      <w:marTop w:val="0"/>
      <w:marBottom w:val="0"/>
      <w:divBdr>
        <w:top w:val="none" w:sz="0" w:space="0" w:color="auto"/>
        <w:left w:val="none" w:sz="0" w:space="0" w:color="auto"/>
        <w:bottom w:val="none" w:sz="0" w:space="0" w:color="auto"/>
        <w:right w:val="none" w:sz="0" w:space="0" w:color="auto"/>
      </w:divBdr>
    </w:div>
    <w:div w:id="1646355838">
      <w:bodyDiv w:val="1"/>
      <w:marLeft w:val="0"/>
      <w:marRight w:val="0"/>
      <w:marTop w:val="0"/>
      <w:marBottom w:val="0"/>
      <w:divBdr>
        <w:top w:val="none" w:sz="0" w:space="0" w:color="auto"/>
        <w:left w:val="none" w:sz="0" w:space="0" w:color="auto"/>
        <w:bottom w:val="none" w:sz="0" w:space="0" w:color="auto"/>
        <w:right w:val="none" w:sz="0" w:space="0" w:color="auto"/>
      </w:divBdr>
    </w:div>
    <w:div w:id="1671177245">
      <w:bodyDiv w:val="1"/>
      <w:marLeft w:val="0"/>
      <w:marRight w:val="0"/>
      <w:marTop w:val="0"/>
      <w:marBottom w:val="0"/>
      <w:divBdr>
        <w:top w:val="none" w:sz="0" w:space="0" w:color="auto"/>
        <w:left w:val="none" w:sz="0" w:space="0" w:color="auto"/>
        <w:bottom w:val="none" w:sz="0" w:space="0" w:color="auto"/>
        <w:right w:val="none" w:sz="0" w:space="0" w:color="auto"/>
      </w:divBdr>
    </w:div>
    <w:div w:id="1755206703">
      <w:bodyDiv w:val="1"/>
      <w:marLeft w:val="0"/>
      <w:marRight w:val="0"/>
      <w:marTop w:val="0"/>
      <w:marBottom w:val="0"/>
      <w:divBdr>
        <w:top w:val="none" w:sz="0" w:space="0" w:color="auto"/>
        <w:left w:val="none" w:sz="0" w:space="0" w:color="auto"/>
        <w:bottom w:val="none" w:sz="0" w:space="0" w:color="auto"/>
        <w:right w:val="none" w:sz="0" w:space="0" w:color="auto"/>
      </w:divBdr>
    </w:div>
    <w:div w:id="1766001281">
      <w:bodyDiv w:val="1"/>
      <w:marLeft w:val="0"/>
      <w:marRight w:val="0"/>
      <w:marTop w:val="0"/>
      <w:marBottom w:val="0"/>
      <w:divBdr>
        <w:top w:val="none" w:sz="0" w:space="0" w:color="auto"/>
        <w:left w:val="none" w:sz="0" w:space="0" w:color="auto"/>
        <w:bottom w:val="none" w:sz="0" w:space="0" w:color="auto"/>
        <w:right w:val="none" w:sz="0" w:space="0" w:color="auto"/>
      </w:divBdr>
    </w:div>
    <w:div w:id="1792288186">
      <w:bodyDiv w:val="1"/>
      <w:marLeft w:val="0"/>
      <w:marRight w:val="0"/>
      <w:marTop w:val="0"/>
      <w:marBottom w:val="0"/>
      <w:divBdr>
        <w:top w:val="none" w:sz="0" w:space="0" w:color="auto"/>
        <w:left w:val="none" w:sz="0" w:space="0" w:color="auto"/>
        <w:bottom w:val="none" w:sz="0" w:space="0" w:color="auto"/>
        <w:right w:val="none" w:sz="0" w:space="0" w:color="auto"/>
      </w:divBdr>
    </w:div>
    <w:div w:id="1929121916">
      <w:bodyDiv w:val="1"/>
      <w:marLeft w:val="0"/>
      <w:marRight w:val="0"/>
      <w:marTop w:val="0"/>
      <w:marBottom w:val="0"/>
      <w:divBdr>
        <w:top w:val="none" w:sz="0" w:space="0" w:color="auto"/>
        <w:left w:val="none" w:sz="0" w:space="0" w:color="auto"/>
        <w:bottom w:val="none" w:sz="0" w:space="0" w:color="auto"/>
        <w:right w:val="none" w:sz="0" w:space="0" w:color="auto"/>
      </w:divBdr>
    </w:div>
    <w:div w:id="1931542595">
      <w:bodyDiv w:val="1"/>
      <w:marLeft w:val="0"/>
      <w:marRight w:val="0"/>
      <w:marTop w:val="0"/>
      <w:marBottom w:val="0"/>
      <w:divBdr>
        <w:top w:val="none" w:sz="0" w:space="0" w:color="auto"/>
        <w:left w:val="none" w:sz="0" w:space="0" w:color="auto"/>
        <w:bottom w:val="none" w:sz="0" w:space="0" w:color="auto"/>
        <w:right w:val="none" w:sz="0" w:space="0" w:color="auto"/>
      </w:divBdr>
    </w:div>
    <w:div w:id="1937984053">
      <w:bodyDiv w:val="1"/>
      <w:marLeft w:val="0"/>
      <w:marRight w:val="0"/>
      <w:marTop w:val="0"/>
      <w:marBottom w:val="0"/>
      <w:divBdr>
        <w:top w:val="none" w:sz="0" w:space="0" w:color="auto"/>
        <w:left w:val="none" w:sz="0" w:space="0" w:color="auto"/>
        <w:bottom w:val="none" w:sz="0" w:space="0" w:color="auto"/>
        <w:right w:val="none" w:sz="0" w:space="0" w:color="auto"/>
      </w:divBdr>
    </w:div>
    <w:div w:id="1947342344">
      <w:bodyDiv w:val="1"/>
      <w:marLeft w:val="0"/>
      <w:marRight w:val="0"/>
      <w:marTop w:val="0"/>
      <w:marBottom w:val="0"/>
      <w:divBdr>
        <w:top w:val="none" w:sz="0" w:space="0" w:color="auto"/>
        <w:left w:val="none" w:sz="0" w:space="0" w:color="auto"/>
        <w:bottom w:val="none" w:sz="0" w:space="0" w:color="auto"/>
        <w:right w:val="none" w:sz="0" w:space="0" w:color="auto"/>
      </w:divBdr>
    </w:div>
    <w:div w:id="1956671107">
      <w:bodyDiv w:val="1"/>
      <w:marLeft w:val="0"/>
      <w:marRight w:val="0"/>
      <w:marTop w:val="0"/>
      <w:marBottom w:val="0"/>
      <w:divBdr>
        <w:top w:val="none" w:sz="0" w:space="0" w:color="auto"/>
        <w:left w:val="none" w:sz="0" w:space="0" w:color="auto"/>
        <w:bottom w:val="none" w:sz="0" w:space="0" w:color="auto"/>
        <w:right w:val="none" w:sz="0" w:space="0" w:color="auto"/>
      </w:divBdr>
    </w:div>
    <w:div w:id="1987054326">
      <w:bodyDiv w:val="1"/>
      <w:marLeft w:val="0"/>
      <w:marRight w:val="0"/>
      <w:marTop w:val="0"/>
      <w:marBottom w:val="0"/>
      <w:divBdr>
        <w:top w:val="none" w:sz="0" w:space="0" w:color="auto"/>
        <w:left w:val="none" w:sz="0" w:space="0" w:color="auto"/>
        <w:bottom w:val="none" w:sz="0" w:space="0" w:color="auto"/>
        <w:right w:val="none" w:sz="0" w:space="0" w:color="auto"/>
      </w:divBdr>
    </w:div>
    <w:div w:id="1987589995">
      <w:bodyDiv w:val="1"/>
      <w:marLeft w:val="0"/>
      <w:marRight w:val="0"/>
      <w:marTop w:val="0"/>
      <w:marBottom w:val="0"/>
      <w:divBdr>
        <w:top w:val="none" w:sz="0" w:space="0" w:color="auto"/>
        <w:left w:val="none" w:sz="0" w:space="0" w:color="auto"/>
        <w:bottom w:val="none" w:sz="0" w:space="0" w:color="auto"/>
        <w:right w:val="none" w:sz="0" w:space="0" w:color="auto"/>
      </w:divBdr>
    </w:div>
    <w:div w:id="2014186863">
      <w:bodyDiv w:val="1"/>
      <w:marLeft w:val="0"/>
      <w:marRight w:val="0"/>
      <w:marTop w:val="0"/>
      <w:marBottom w:val="0"/>
      <w:divBdr>
        <w:top w:val="none" w:sz="0" w:space="0" w:color="auto"/>
        <w:left w:val="none" w:sz="0" w:space="0" w:color="auto"/>
        <w:bottom w:val="none" w:sz="0" w:space="0" w:color="auto"/>
        <w:right w:val="none" w:sz="0" w:space="0" w:color="auto"/>
      </w:divBdr>
    </w:div>
    <w:div w:id="2026251718">
      <w:bodyDiv w:val="1"/>
      <w:marLeft w:val="0"/>
      <w:marRight w:val="0"/>
      <w:marTop w:val="0"/>
      <w:marBottom w:val="0"/>
      <w:divBdr>
        <w:top w:val="none" w:sz="0" w:space="0" w:color="auto"/>
        <w:left w:val="none" w:sz="0" w:space="0" w:color="auto"/>
        <w:bottom w:val="none" w:sz="0" w:space="0" w:color="auto"/>
        <w:right w:val="none" w:sz="0" w:space="0" w:color="auto"/>
      </w:divBdr>
    </w:div>
    <w:div w:id="2054500067">
      <w:bodyDiv w:val="1"/>
      <w:marLeft w:val="0"/>
      <w:marRight w:val="0"/>
      <w:marTop w:val="0"/>
      <w:marBottom w:val="0"/>
      <w:divBdr>
        <w:top w:val="none" w:sz="0" w:space="0" w:color="auto"/>
        <w:left w:val="none" w:sz="0" w:space="0" w:color="auto"/>
        <w:bottom w:val="none" w:sz="0" w:space="0" w:color="auto"/>
        <w:right w:val="none" w:sz="0" w:space="0" w:color="auto"/>
      </w:divBdr>
    </w:div>
    <w:div w:id="2059626889">
      <w:bodyDiv w:val="1"/>
      <w:marLeft w:val="0"/>
      <w:marRight w:val="0"/>
      <w:marTop w:val="0"/>
      <w:marBottom w:val="0"/>
      <w:divBdr>
        <w:top w:val="none" w:sz="0" w:space="0" w:color="auto"/>
        <w:left w:val="none" w:sz="0" w:space="0" w:color="auto"/>
        <w:bottom w:val="none" w:sz="0" w:space="0" w:color="auto"/>
        <w:right w:val="none" w:sz="0" w:space="0" w:color="auto"/>
      </w:divBdr>
    </w:div>
    <w:div w:id="2071882014">
      <w:bodyDiv w:val="1"/>
      <w:marLeft w:val="0"/>
      <w:marRight w:val="0"/>
      <w:marTop w:val="0"/>
      <w:marBottom w:val="0"/>
      <w:divBdr>
        <w:top w:val="none" w:sz="0" w:space="0" w:color="auto"/>
        <w:left w:val="none" w:sz="0" w:space="0" w:color="auto"/>
        <w:bottom w:val="none" w:sz="0" w:space="0" w:color="auto"/>
        <w:right w:val="none" w:sz="0" w:space="0" w:color="auto"/>
      </w:divBdr>
    </w:div>
    <w:div w:id="212592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The Electric Reliability Council of Texas</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Luminant 01XX19</dc:creator>
  <cp:keywords/>
  <dc:description/>
  <cp:lastModifiedBy>Boren, Ann</cp:lastModifiedBy>
  <cp:revision>2</cp:revision>
  <dcterms:created xsi:type="dcterms:W3CDTF">2022-10-25T14:49:00Z</dcterms:created>
  <dcterms:modified xsi:type="dcterms:W3CDTF">2022-10-25T14:49:00Z</dcterms:modified>
</cp:coreProperties>
</file>